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BBF1" w14:textId="3519A159" w:rsidR="002940E3" w:rsidRPr="00390A34" w:rsidRDefault="002940E3" w:rsidP="002940E3">
      <w:pPr>
        <w:pStyle w:val="NoSpacing"/>
        <w:jc w:val="center"/>
        <w:rPr>
          <w:b/>
          <w:bCs/>
        </w:rPr>
      </w:pPr>
      <w:r w:rsidRPr="00390A34">
        <w:rPr>
          <w:b/>
          <w:bCs/>
        </w:rPr>
        <w:t xml:space="preserve">[LMN Template for </w:t>
      </w:r>
      <w:r>
        <w:rPr>
          <w:b/>
          <w:bCs/>
        </w:rPr>
        <w:t>Chromosomal Microarray</w:t>
      </w:r>
      <w:r w:rsidRPr="00390A34">
        <w:rPr>
          <w:b/>
          <w:bCs/>
        </w:rPr>
        <w:t>]</w:t>
      </w:r>
    </w:p>
    <w:p w14:paraId="3DD9EA95" w14:textId="77777777" w:rsidR="002940E3" w:rsidRDefault="002940E3" w:rsidP="00A104D4">
      <w:pPr>
        <w:rPr>
          <w:b/>
          <w:bCs/>
        </w:rPr>
      </w:pPr>
    </w:p>
    <w:p w14:paraId="5630A34C" w14:textId="77777777" w:rsidR="002940E3" w:rsidRPr="00332B37" w:rsidRDefault="002940E3" w:rsidP="002940E3">
      <w:pPr>
        <w:pStyle w:val="NoSpacing"/>
      </w:pPr>
      <w:r w:rsidRPr="00332B37">
        <w:t>Patient: ***</w:t>
      </w:r>
    </w:p>
    <w:p w14:paraId="22F57BF1" w14:textId="77777777" w:rsidR="002940E3" w:rsidRPr="00332B37" w:rsidRDefault="002940E3" w:rsidP="002940E3">
      <w:pPr>
        <w:pStyle w:val="NoSpacing"/>
      </w:pPr>
      <w:r w:rsidRPr="00332B37">
        <w:t>Insurance Company: ***</w:t>
      </w:r>
    </w:p>
    <w:p w14:paraId="3EA0A484" w14:textId="77777777" w:rsidR="002940E3" w:rsidRPr="00332B37" w:rsidRDefault="002940E3" w:rsidP="002940E3">
      <w:pPr>
        <w:pStyle w:val="NoSpacing"/>
      </w:pPr>
      <w:r w:rsidRPr="00332B37">
        <w:t>Subscriber Name: ***</w:t>
      </w:r>
    </w:p>
    <w:p w14:paraId="33D43F3C" w14:textId="77777777" w:rsidR="002940E3" w:rsidRPr="00332B37" w:rsidRDefault="002940E3" w:rsidP="002940E3">
      <w:pPr>
        <w:pStyle w:val="NoSpacing"/>
      </w:pPr>
      <w:r w:rsidRPr="00332B37">
        <w:t>Policy #:***</w:t>
      </w:r>
    </w:p>
    <w:p w14:paraId="708AAE1F" w14:textId="77777777" w:rsidR="002940E3" w:rsidRPr="00332B37" w:rsidRDefault="002940E3" w:rsidP="002940E3">
      <w:pPr>
        <w:pStyle w:val="NoSpacing"/>
      </w:pPr>
      <w:r w:rsidRPr="00332B37">
        <w:t>Reference Number: ***</w:t>
      </w:r>
    </w:p>
    <w:p w14:paraId="7519A6EE" w14:textId="77777777" w:rsidR="00A104D4" w:rsidRPr="00A104D4" w:rsidRDefault="00A104D4" w:rsidP="00A104D4"/>
    <w:p w14:paraId="6E1236E7" w14:textId="1A529D8A" w:rsidR="00A104D4" w:rsidRPr="00A104D4" w:rsidRDefault="00A104D4" w:rsidP="00A104D4">
      <w:r w:rsidRPr="00A104D4">
        <w:t>Dear Claims Specialist,</w:t>
      </w:r>
    </w:p>
    <w:p w14:paraId="4C50C2F6" w14:textId="3816A4E2" w:rsidR="001B1E9A" w:rsidRDefault="001B1E9A" w:rsidP="00A104D4">
      <w:r w:rsidRPr="00332B37">
        <w:t xml:space="preserve">I am writing this letter of medical necessity on behalf of my patient </w:t>
      </w:r>
      <w:r w:rsidRPr="00D25756">
        <w:rPr>
          <w:highlight w:val="yellow"/>
        </w:rPr>
        <w:t>[Patient Name]</w:t>
      </w:r>
      <w:r w:rsidRPr="00332B37">
        <w:t xml:space="preserve"> to request coverage for </w:t>
      </w:r>
      <w:r>
        <w:t>chromosomal microarray</w:t>
      </w:r>
      <w:r w:rsidRPr="00332B37">
        <w:t xml:space="preserve"> offered through </w:t>
      </w:r>
      <w:r w:rsidRPr="00D25756">
        <w:rPr>
          <w:highlight w:val="yellow"/>
        </w:rPr>
        <w:t>[Lab Name]</w:t>
      </w:r>
      <w:r w:rsidRPr="00332B37">
        <w:t xml:space="preserve">, a high complexity CLIA certified laboratory located in </w:t>
      </w:r>
      <w:r w:rsidRPr="00D25756">
        <w:rPr>
          <w:highlight w:val="yellow"/>
        </w:rPr>
        <w:t>[Lab Location]</w:t>
      </w:r>
      <w:r w:rsidRPr="00332B37">
        <w:t>.</w:t>
      </w:r>
    </w:p>
    <w:p w14:paraId="23F8201B" w14:textId="2EFD73D0" w:rsidR="00A104D4" w:rsidRPr="00A104D4" w:rsidRDefault="00A104D4" w:rsidP="00A104D4">
      <w:pPr>
        <w:rPr>
          <w:b/>
          <w:bCs/>
        </w:rPr>
      </w:pPr>
      <w:r w:rsidRPr="00A104D4">
        <w:rPr>
          <w:b/>
          <w:bCs/>
        </w:rPr>
        <w:t>Information on Patient’s Condition:</w:t>
      </w:r>
    </w:p>
    <w:p w14:paraId="3A0F4428" w14:textId="4D446695" w:rsidR="00A104D4" w:rsidRPr="00A104D4" w:rsidRDefault="001B1E9A" w:rsidP="00A104D4">
      <w:r w:rsidRPr="00D25756">
        <w:rPr>
          <w:highlight w:val="yellow"/>
        </w:rPr>
        <w:t>[Patient Name] is a [age][sex] with [symptoms, family history information]. [Patient Name]</w:t>
      </w:r>
      <w:r w:rsidRPr="00332B37">
        <w:t>’s clinical symptoms and results of the routine diagnostic tests</w:t>
      </w:r>
      <w:r>
        <w:t xml:space="preserve"> suggest a </w:t>
      </w:r>
      <w:r w:rsidR="00A104D4" w:rsidRPr="00A104D4">
        <w:t xml:space="preserve"> genetic diagnosis.  However, the only way to confirm a specific diagnosis is to perform genetic testing on this patient. Results from this genetic test may have a direct impact on this patient’s treatment and management. </w:t>
      </w:r>
    </w:p>
    <w:p w14:paraId="76B69150" w14:textId="784DF9A2" w:rsidR="00A104D4" w:rsidRPr="00A104D4" w:rsidRDefault="00A104D4" w:rsidP="00A104D4">
      <w:pPr>
        <w:rPr>
          <w:b/>
          <w:bCs/>
        </w:rPr>
      </w:pPr>
      <w:r w:rsidRPr="00A104D4">
        <w:rPr>
          <w:b/>
          <w:bCs/>
        </w:rPr>
        <w:t>This patient's family has had pre-test counseling regarding the potential outcomes of this test, and a certified genetic counselor will be involved in discussion of any abnormal results.</w:t>
      </w:r>
      <w:r w:rsidR="001B1E9A">
        <w:rPr>
          <w:b/>
          <w:bCs/>
        </w:rPr>
        <w:t xml:space="preserve"> </w:t>
      </w:r>
      <w:r w:rsidR="001B1E9A" w:rsidRPr="001B1E9A">
        <w:rPr>
          <w:highlight w:val="yellow"/>
        </w:rPr>
        <w:t>[Remove if inapplicable]</w:t>
      </w:r>
    </w:p>
    <w:p w14:paraId="568AFF89" w14:textId="77777777" w:rsidR="00A104D4" w:rsidRPr="00A104D4" w:rsidRDefault="00A104D4" w:rsidP="00A104D4">
      <w:pPr>
        <w:rPr>
          <w:b/>
          <w:bCs/>
        </w:rPr>
      </w:pPr>
      <w:r w:rsidRPr="00A104D4">
        <w:rPr>
          <w:b/>
          <w:bCs/>
        </w:rPr>
        <w:t>Information on Microarray:</w:t>
      </w:r>
    </w:p>
    <w:p w14:paraId="2D7A07FB" w14:textId="45841238" w:rsidR="00A104D4" w:rsidRPr="00A104D4" w:rsidRDefault="00A104D4" w:rsidP="00A104D4">
      <w:r w:rsidRPr="00A104D4">
        <w:t xml:space="preserve">The microarray looks for subtle deletions or duplications of genetic material at thousands of chromosomal regions. This </w:t>
      </w:r>
      <w:r w:rsidR="001B1E9A">
        <w:t>testing</w:t>
      </w:r>
      <w:r w:rsidRPr="00A104D4">
        <w:t xml:space="preserve"> can pick up small deletions or duplications while traditional high-resolution karyotyping can miss such changes at the size of less than 5.0 MB. The current testing platform used to perform microarray testing is </w:t>
      </w:r>
      <w:r w:rsidRPr="00A104D4">
        <w:rPr>
          <w:u w:val="single"/>
        </w:rPr>
        <w:t>not</w:t>
      </w:r>
      <w:r w:rsidRPr="00A104D4">
        <w:t xml:space="preserve"> investigational or </w:t>
      </w:r>
      <w:r w:rsidR="001B1E9A" w:rsidRPr="00A104D4">
        <w:t>experimental and</w:t>
      </w:r>
      <w:r w:rsidRPr="00A104D4">
        <w:t xml:space="preserve"> is a very highly accurate and reliable method for the detection of small genomic imbalances that cannot be diagnosed using other technologies. </w:t>
      </w:r>
      <w:proofErr w:type="gramStart"/>
      <w:r w:rsidRPr="00A104D4">
        <w:t>Therefore</w:t>
      </w:r>
      <w:proofErr w:type="gramEnd"/>
      <w:r w:rsidRPr="00A104D4">
        <w:t xml:space="preserve"> the microarray procedure </w:t>
      </w:r>
      <w:proofErr w:type="gramStart"/>
      <w:r w:rsidRPr="00A104D4">
        <w:t>is considered to be</w:t>
      </w:r>
      <w:proofErr w:type="gramEnd"/>
      <w:r w:rsidRPr="00A104D4">
        <w:t xml:space="preserve"> the standard of care for the evaluation of the types of problems seen in </w:t>
      </w:r>
      <w:r w:rsidR="001B1E9A">
        <w:t>this patient</w:t>
      </w:r>
      <w:r w:rsidRPr="00A104D4">
        <w:t xml:space="preserve">. Please review the following articles regarding the utility of microarray. </w:t>
      </w:r>
    </w:p>
    <w:p w14:paraId="3D910086" w14:textId="77777777" w:rsidR="00A104D4" w:rsidRPr="00A104D4" w:rsidRDefault="00A104D4" w:rsidP="00A104D4">
      <w:pPr>
        <w:numPr>
          <w:ilvl w:val="0"/>
          <w:numId w:val="1"/>
        </w:numPr>
      </w:pPr>
      <w:r w:rsidRPr="00A104D4">
        <w:lastRenderedPageBreak/>
        <w:t xml:space="preserve">Saam J, Gudgeon J, Aston E, Brothman AR. "How physicians use array comparative genomic hybridization results to guide patient management in children with developmental delay." </w:t>
      </w:r>
      <w:r w:rsidRPr="00A104D4">
        <w:rPr>
          <w:i/>
          <w:iCs/>
        </w:rPr>
        <w:t>Genetics in medicine</w:t>
      </w:r>
      <w:r w:rsidRPr="00A104D4">
        <w:t xml:space="preserve"> 2008;10(3):181-186.</w:t>
      </w:r>
    </w:p>
    <w:p w14:paraId="7ECDF46F" w14:textId="77777777" w:rsidR="00A104D4" w:rsidRPr="00A104D4" w:rsidRDefault="00A104D4" w:rsidP="00A104D4">
      <w:pPr>
        <w:numPr>
          <w:ilvl w:val="0"/>
          <w:numId w:val="2"/>
        </w:numPr>
        <w:rPr>
          <w:i/>
          <w:iCs/>
        </w:rPr>
      </w:pPr>
      <w:r w:rsidRPr="00A104D4">
        <w:t xml:space="preserve">Pickering Dl et al. Array-based comparative genomic hybridization analysis of 1176 consecutive clinical genetics investigations. </w:t>
      </w:r>
      <w:r w:rsidRPr="00A104D4">
        <w:rPr>
          <w:i/>
          <w:iCs/>
        </w:rPr>
        <w:t>Genetics in Medicine 2008;10:2626-266.</w:t>
      </w:r>
    </w:p>
    <w:p w14:paraId="3E274BC6" w14:textId="77777777" w:rsidR="00A104D4" w:rsidRPr="00A104D4" w:rsidRDefault="00A104D4" w:rsidP="00A104D4">
      <w:pPr>
        <w:numPr>
          <w:ilvl w:val="0"/>
          <w:numId w:val="3"/>
        </w:numPr>
      </w:pPr>
      <w:r w:rsidRPr="00A104D4">
        <w:t xml:space="preserve">Bejjani BA, Shaffer LG. Clinical Utility of contemporary molecular cytogenetics, </w:t>
      </w:r>
      <w:r w:rsidRPr="00A104D4">
        <w:rPr>
          <w:i/>
          <w:iCs/>
        </w:rPr>
        <w:t>Annu. Rev. Genomics Hum Genetics.</w:t>
      </w:r>
      <w:r w:rsidRPr="00A104D4">
        <w:t>2008;9:71-86</w:t>
      </w:r>
    </w:p>
    <w:p w14:paraId="0492B1BE" w14:textId="77777777" w:rsidR="00A104D4" w:rsidRPr="00A104D4" w:rsidRDefault="00A104D4" w:rsidP="00A104D4">
      <w:pPr>
        <w:numPr>
          <w:ilvl w:val="0"/>
          <w:numId w:val="4"/>
        </w:numPr>
      </w:pPr>
      <w:r w:rsidRPr="00A104D4">
        <w:t xml:space="preserve">Edelmann L, Hirschorn K. Clinical utility of array CGH for the detection of chromosomal imbalances associated with mental retardation and multiple congenital anomalies, </w:t>
      </w:r>
      <w:r w:rsidRPr="00A104D4">
        <w:rPr>
          <w:i/>
          <w:iCs/>
        </w:rPr>
        <w:t xml:space="preserve"> Annals of the New York Academy of Science</w:t>
      </w:r>
      <w:r w:rsidRPr="00A104D4">
        <w:t xml:space="preserve"> 2009;1151:157-166.</w:t>
      </w:r>
    </w:p>
    <w:p w14:paraId="3B6C67F2" w14:textId="76BBCF26" w:rsidR="00A104D4" w:rsidRPr="00A104D4" w:rsidRDefault="00A104D4" w:rsidP="00A104D4">
      <w:pPr>
        <w:rPr>
          <w:b/>
          <w:bCs/>
        </w:rPr>
      </w:pPr>
      <w:r w:rsidRPr="00A104D4">
        <w:rPr>
          <w:b/>
          <w:bCs/>
        </w:rPr>
        <w:t>Clinical Utility of Chromosomal Microarray Testing:</w:t>
      </w:r>
    </w:p>
    <w:p w14:paraId="48DC86CE" w14:textId="77777777" w:rsidR="00A104D4" w:rsidRPr="00A104D4" w:rsidRDefault="00A104D4" w:rsidP="00A104D4">
      <w:pPr>
        <w:numPr>
          <w:ilvl w:val="0"/>
          <w:numId w:val="5"/>
        </w:numPr>
      </w:pPr>
      <w:r w:rsidRPr="00A104D4">
        <w:rPr>
          <w:b/>
          <w:bCs/>
        </w:rPr>
        <w:t xml:space="preserve">A specific diagnosis may influence the treatment for this patient. </w:t>
      </w:r>
      <w:r w:rsidRPr="00A104D4">
        <w:t xml:space="preserve">For example, certain medications may be more effective based on the diagnosis and some may be contraindicated. </w:t>
      </w:r>
    </w:p>
    <w:p w14:paraId="4F2C6926" w14:textId="77777777" w:rsidR="00A104D4" w:rsidRPr="00A104D4" w:rsidRDefault="00A104D4" w:rsidP="00A104D4">
      <w:pPr>
        <w:numPr>
          <w:ilvl w:val="0"/>
          <w:numId w:val="5"/>
        </w:numPr>
        <w:rPr>
          <w:b/>
          <w:bCs/>
        </w:rPr>
      </w:pPr>
      <w:r w:rsidRPr="00A104D4">
        <w:rPr>
          <w:b/>
          <w:bCs/>
        </w:rPr>
        <w:t>Proper diagnosis will help the physician in managing the patient more efficiently, while limiting doctor visits and insurance claims</w:t>
      </w:r>
    </w:p>
    <w:p w14:paraId="7AA58A18" w14:textId="35B62F18" w:rsidR="00A104D4" w:rsidRDefault="00A104D4" w:rsidP="00A104D4">
      <w:pPr>
        <w:numPr>
          <w:ilvl w:val="0"/>
          <w:numId w:val="5"/>
        </w:numPr>
        <w:rPr>
          <w:b/>
          <w:bCs/>
        </w:rPr>
      </w:pPr>
      <w:r w:rsidRPr="00A104D4">
        <w:rPr>
          <w:b/>
          <w:bCs/>
        </w:rPr>
        <w:t>A specific genetic diagnosis will allow for family members to be tested for the specific mutation for a drastically lower cost</w:t>
      </w:r>
    </w:p>
    <w:p w14:paraId="5164DFDE" w14:textId="77777777" w:rsidR="001B1E9A" w:rsidRPr="00332B37" w:rsidRDefault="001B1E9A" w:rsidP="001B1E9A">
      <w:pPr>
        <w:rPr>
          <w:b/>
          <w:bCs/>
        </w:rPr>
      </w:pPr>
      <w:r w:rsidRPr="00332B37">
        <w:rPr>
          <w:b/>
          <w:bCs/>
        </w:rPr>
        <w:t xml:space="preserve">We request your review of the following testing for preauthorization: </w:t>
      </w:r>
    </w:p>
    <w:p w14:paraId="25ED357F" w14:textId="77777777" w:rsidR="001B1E9A" w:rsidRPr="00332B37" w:rsidRDefault="001B1E9A" w:rsidP="001B1E9A">
      <w:pPr>
        <w:pStyle w:val="NoSpacing"/>
      </w:pPr>
      <w:r w:rsidRPr="00332B37">
        <w:t>Test Requested:  ***</w:t>
      </w:r>
    </w:p>
    <w:p w14:paraId="182A078E" w14:textId="77777777" w:rsidR="001B1E9A" w:rsidRPr="00332B37" w:rsidRDefault="001B1E9A" w:rsidP="001B1E9A">
      <w:pPr>
        <w:pStyle w:val="NoSpacing"/>
      </w:pPr>
      <w:r w:rsidRPr="00332B37">
        <w:t>Test Code: ***</w:t>
      </w:r>
    </w:p>
    <w:p w14:paraId="1F7091D4" w14:textId="77777777" w:rsidR="001B1E9A" w:rsidRPr="00332B37" w:rsidRDefault="001B1E9A" w:rsidP="001B1E9A">
      <w:pPr>
        <w:pStyle w:val="NoSpacing"/>
      </w:pPr>
      <w:r w:rsidRPr="00332B37">
        <w:t>Lab Name: ***</w:t>
      </w:r>
    </w:p>
    <w:p w14:paraId="3C97312E" w14:textId="77777777" w:rsidR="001B1E9A" w:rsidRPr="00332B37" w:rsidRDefault="001B1E9A" w:rsidP="001B1E9A">
      <w:pPr>
        <w:pStyle w:val="NoSpacing"/>
      </w:pPr>
      <w:r w:rsidRPr="00332B37">
        <w:t>Lab Phone: ***</w:t>
      </w:r>
    </w:p>
    <w:p w14:paraId="0F469046" w14:textId="77777777" w:rsidR="001B1E9A" w:rsidRPr="00332B37" w:rsidRDefault="001B1E9A" w:rsidP="001B1E9A">
      <w:pPr>
        <w:pStyle w:val="NoSpacing"/>
      </w:pPr>
      <w:r w:rsidRPr="00332B37">
        <w:t>CPT codes: ***</w:t>
      </w:r>
    </w:p>
    <w:p w14:paraId="211989C0" w14:textId="77777777" w:rsidR="001B1E9A" w:rsidRPr="00332B37" w:rsidRDefault="001B1E9A" w:rsidP="001B1E9A">
      <w:pPr>
        <w:rPr>
          <w:b/>
          <w:bCs/>
        </w:rPr>
      </w:pPr>
      <w:r w:rsidRPr="00332B37">
        <w:rPr>
          <w:b/>
          <w:bCs/>
        </w:rPr>
        <w:t xml:space="preserve">ICD10 Codes: </w:t>
      </w:r>
      <w:r w:rsidRPr="00332B37">
        <w:t>***</w:t>
      </w:r>
    </w:p>
    <w:p w14:paraId="6BC646B1" w14:textId="77777777" w:rsidR="001B1E9A" w:rsidRPr="00332B37" w:rsidRDefault="001B1E9A" w:rsidP="001B1E9A">
      <w:r w:rsidRPr="00332B37">
        <w:t xml:space="preserve">The blood </w:t>
      </w:r>
      <w:proofErr w:type="gramStart"/>
      <w:r w:rsidRPr="00332B37">
        <w:t>draw</w:t>
      </w:r>
      <w:proofErr w:type="gramEnd"/>
      <w:r w:rsidRPr="00332B37">
        <w:t xml:space="preserve"> would be completed at </w:t>
      </w:r>
      <w:r w:rsidRPr="00D25756">
        <w:rPr>
          <w:highlight w:val="yellow"/>
        </w:rPr>
        <w:t>[Lab/Hospital]</w:t>
      </w:r>
      <w:r w:rsidRPr="00332B37">
        <w:t xml:space="preserve"> for the family’s convenience.  Billing would be coordinated by </w:t>
      </w:r>
      <w:r w:rsidRPr="00D25756">
        <w:rPr>
          <w:highlight w:val="yellow"/>
        </w:rPr>
        <w:t>[Billing Institution/Provider].</w:t>
      </w:r>
      <w:r w:rsidRPr="00332B37">
        <w:t xml:space="preserve"> Ordering provider would be [</w:t>
      </w:r>
      <w:r w:rsidRPr="00D25756">
        <w:rPr>
          <w:highlight w:val="yellow"/>
        </w:rPr>
        <w:t>Ordering Provider</w:t>
      </w:r>
      <w:r w:rsidRPr="00332B37">
        <w:t xml:space="preserve">]. </w:t>
      </w:r>
    </w:p>
    <w:p w14:paraId="3092DA21" w14:textId="77777777" w:rsidR="001B1E9A" w:rsidRPr="00332B37" w:rsidRDefault="001B1E9A" w:rsidP="001B1E9A">
      <w:r w:rsidRPr="00332B37">
        <w:t>Thank you for your review and consideration.  I hope you will support this request for genetic testing coverage for [</w:t>
      </w:r>
      <w:r w:rsidRPr="00D25756">
        <w:rPr>
          <w:highlight w:val="yellow"/>
        </w:rPr>
        <w:t>Patient Name</w:t>
      </w:r>
      <w:r w:rsidRPr="00332B37">
        <w:t>]. If you have questions, or if I can be of further assistance, please do not hesitate to contact me at [</w:t>
      </w:r>
      <w:r w:rsidRPr="00D25756">
        <w:rPr>
          <w:highlight w:val="yellow"/>
        </w:rPr>
        <w:t>Clinician Contact Info</w:t>
      </w:r>
      <w:r w:rsidRPr="00332B37">
        <w:t>].</w:t>
      </w:r>
    </w:p>
    <w:p w14:paraId="482A0984" w14:textId="77777777" w:rsidR="001B1E9A" w:rsidRPr="00332B37" w:rsidRDefault="001B1E9A" w:rsidP="001B1E9A">
      <w:r w:rsidRPr="00332B37">
        <w:lastRenderedPageBreak/>
        <w:t>Sincerely,</w:t>
      </w:r>
    </w:p>
    <w:p w14:paraId="59AC17B5" w14:textId="716B972D" w:rsidR="00EA7B98" w:rsidRDefault="001B1E9A">
      <w:r w:rsidRPr="00D25756">
        <w:rPr>
          <w:highlight w:val="yellow"/>
        </w:rPr>
        <w:t>***</w:t>
      </w:r>
    </w:p>
    <w:sectPr w:rsidR="00EA7B98" w:rsidSect="00A104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D4DB1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Verdana" w:hAnsi="Verdana" w:cs="Verdana"/>
      </w:rPr>
    </w:lvl>
    <w:lvl w:ilvl="1" w:tplc="FFFFFFFF">
      <w:start w:val="1"/>
      <w:numFmt w:val="bullet"/>
      <w:lvlText w:val="o"/>
      <w:lvlJc w:val="left"/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rPr>
        <w:rFonts w:ascii="Wingdings" w:hAnsi="Wingdings" w:cs="Wingdings"/>
      </w:rPr>
    </w:lvl>
    <w:lvl w:ilvl="3" w:tplc="FFFFFFFF">
      <w:start w:val="1"/>
      <w:numFmt w:val="bullet"/>
      <w:lvlText w:val=""/>
      <w:lvlJc w:val="left"/>
      <w:rPr>
        <w:rFonts w:ascii="Symbol" w:hAnsi="Symbol" w:cs="Symbol"/>
      </w:rPr>
    </w:lvl>
    <w:lvl w:ilvl="4" w:tplc="FFFFFFFF">
      <w:start w:val="1"/>
      <w:numFmt w:val="bullet"/>
      <w:lvlText w:val="o"/>
      <w:lvlJc w:val="left"/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rPr>
        <w:rFonts w:ascii="Wingdings" w:hAnsi="Wingdings" w:cs="Wingdings"/>
      </w:rPr>
    </w:lvl>
    <w:lvl w:ilvl="6" w:tplc="FFFFFFFF">
      <w:start w:val="1"/>
      <w:numFmt w:val="bullet"/>
      <w:lvlText w:val=""/>
      <w:lvlJc w:val="left"/>
      <w:rPr>
        <w:rFonts w:ascii="Symbol" w:hAnsi="Symbol" w:cs="Symbol"/>
      </w:rPr>
    </w:lvl>
    <w:lvl w:ilvl="7" w:tplc="FFFFFFFF">
      <w:start w:val="1"/>
      <w:numFmt w:val="bullet"/>
      <w:lvlText w:val="o"/>
      <w:lvlJc w:val="left"/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1A431584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decimal"/>
      <w:lvlText w:val="%4."/>
      <w:lvlJc w:val="left"/>
    </w:lvl>
    <w:lvl w:ilvl="4" w:tplc="FFFFFFFF">
      <w:start w:val="1"/>
      <w:numFmt w:val="decimal"/>
      <w:lvlText w:val="%5."/>
      <w:lvlJc w:val="left"/>
    </w:lvl>
    <w:lvl w:ilvl="5" w:tplc="FFFFFFFF">
      <w:start w:val="1"/>
      <w:numFmt w:val="decimal"/>
      <w:lvlText w:val="%6."/>
      <w:lvlJc w:val="left"/>
    </w:lvl>
    <w:lvl w:ilvl="6" w:tplc="FFFFFFFF">
      <w:start w:val="1"/>
      <w:numFmt w:val="decimal"/>
      <w:lvlText w:val="%7."/>
      <w:lvlJc w:val="left"/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</w:lvl>
  </w:abstractNum>
  <w:abstractNum w:abstractNumId="2" w15:restartNumberingAfterBreak="0">
    <w:nsid w:val="29EA7273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decimal"/>
      <w:lvlText w:val="%4."/>
      <w:lvlJc w:val="left"/>
    </w:lvl>
    <w:lvl w:ilvl="4" w:tplc="FFFFFFFF">
      <w:start w:val="1"/>
      <w:numFmt w:val="decimal"/>
      <w:lvlText w:val="%5."/>
      <w:lvlJc w:val="left"/>
    </w:lvl>
    <w:lvl w:ilvl="5" w:tplc="FFFFFFFF">
      <w:start w:val="1"/>
      <w:numFmt w:val="decimal"/>
      <w:lvlText w:val="%6."/>
      <w:lvlJc w:val="left"/>
    </w:lvl>
    <w:lvl w:ilvl="6" w:tplc="FFFFFFFF">
      <w:start w:val="1"/>
      <w:numFmt w:val="decimal"/>
      <w:lvlText w:val="%7."/>
      <w:lvlJc w:val="left"/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</w:lvl>
  </w:abstractNum>
  <w:abstractNum w:abstractNumId="3" w15:restartNumberingAfterBreak="0">
    <w:nsid w:val="535EADC1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decimal"/>
      <w:lvlText w:val="%4."/>
      <w:lvlJc w:val="left"/>
    </w:lvl>
    <w:lvl w:ilvl="4" w:tplc="FFFFFFFF">
      <w:start w:val="1"/>
      <w:numFmt w:val="decimal"/>
      <w:lvlText w:val="%5."/>
      <w:lvlJc w:val="left"/>
    </w:lvl>
    <w:lvl w:ilvl="5" w:tplc="FFFFFFFF">
      <w:start w:val="1"/>
      <w:numFmt w:val="decimal"/>
      <w:lvlText w:val="%6."/>
      <w:lvlJc w:val="left"/>
    </w:lvl>
    <w:lvl w:ilvl="6" w:tplc="FFFFFFFF">
      <w:start w:val="1"/>
      <w:numFmt w:val="decimal"/>
      <w:lvlText w:val="%7."/>
      <w:lvlJc w:val="left"/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</w:lvl>
  </w:abstractNum>
  <w:abstractNum w:abstractNumId="4" w15:restartNumberingAfterBreak="0">
    <w:nsid w:val="71D40B0F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decimal"/>
      <w:lvlText w:val="%4."/>
      <w:lvlJc w:val="left"/>
    </w:lvl>
    <w:lvl w:ilvl="4" w:tplc="FFFFFFFF">
      <w:start w:val="1"/>
      <w:numFmt w:val="decimal"/>
      <w:lvlText w:val="%5."/>
      <w:lvlJc w:val="left"/>
    </w:lvl>
    <w:lvl w:ilvl="5" w:tplc="FFFFFFFF">
      <w:start w:val="1"/>
      <w:numFmt w:val="decimal"/>
      <w:lvlText w:val="%6."/>
      <w:lvlJc w:val="left"/>
    </w:lvl>
    <w:lvl w:ilvl="6" w:tplc="FFFFFFFF">
      <w:start w:val="1"/>
      <w:numFmt w:val="decimal"/>
      <w:lvlText w:val="%7."/>
      <w:lvlJc w:val="left"/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</w:lvl>
  </w:abstractNum>
  <w:num w:numId="1" w16cid:durableId="460415315">
    <w:abstractNumId w:val="3"/>
  </w:num>
  <w:num w:numId="2" w16cid:durableId="1880430085">
    <w:abstractNumId w:val="1"/>
  </w:num>
  <w:num w:numId="3" w16cid:durableId="1971400862">
    <w:abstractNumId w:val="2"/>
  </w:num>
  <w:num w:numId="4" w16cid:durableId="1252812174">
    <w:abstractNumId w:val="4"/>
  </w:num>
  <w:num w:numId="5" w16cid:durableId="85337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D4"/>
    <w:rsid w:val="001B1E9A"/>
    <w:rsid w:val="002940E3"/>
    <w:rsid w:val="005179E5"/>
    <w:rsid w:val="0053623B"/>
    <w:rsid w:val="005B31C8"/>
    <w:rsid w:val="006632D3"/>
    <w:rsid w:val="00810DA3"/>
    <w:rsid w:val="008953EC"/>
    <w:rsid w:val="00A104D4"/>
    <w:rsid w:val="00AD5ABE"/>
    <w:rsid w:val="00CA24AD"/>
    <w:rsid w:val="00EA7B98"/>
    <w:rsid w:val="00F6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955F"/>
  <w15:chartTrackingRefBased/>
  <w15:docId w15:val="{60C779E0-19DF-4D01-854A-193A0303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4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4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4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4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4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4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4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4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4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4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4D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94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Angione</dc:creator>
  <cp:keywords/>
  <dc:description/>
  <cp:lastModifiedBy>Lauren Orciuoli</cp:lastModifiedBy>
  <cp:revision>2</cp:revision>
  <dcterms:created xsi:type="dcterms:W3CDTF">2025-04-11T11:30:00Z</dcterms:created>
  <dcterms:modified xsi:type="dcterms:W3CDTF">2025-04-11T11:30:00Z</dcterms:modified>
</cp:coreProperties>
</file>